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50B42" w14:paraId="297AE15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AEDFFA3" w14:textId="77777777" w:rsidR="00E50B42" w:rsidRDefault="00D311B6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774DE25" w14:textId="77777777" w:rsidR="00E50B42" w:rsidRDefault="00D311B6">
            <w:pPr>
              <w:spacing w:after="0" w:line="240" w:lineRule="auto"/>
            </w:pPr>
            <w:r>
              <w:t>10469</w:t>
            </w:r>
          </w:p>
        </w:tc>
      </w:tr>
      <w:tr w:rsidR="00E50B42" w14:paraId="3BCD427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A22E340" w14:textId="77777777" w:rsidR="00E50B42" w:rsidRDefault="00D311B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774EDA2" w14:textId="77777777" w:rsidR="00E50B42" w:rsidRDefault="00D311B6">
            <w:pPr>
              <w:spacing w:after="0" w:line="240" w:lineRule="auto"/>
            </w:pPr>
            <w:r>
              <w:t xml:space="preserve">OSNOVNA ŠKOLA ZVONKA CARA </w:t>
            </w:r>
          </w:p>
        </w:tc>
      </w:tr>
      <w:tr w:rsidR="00E50B42" w14:paraId="31054BC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C7B5DD7" w14:textId="77777777" w:rsidR="00E50B42" w:rsidRDefault="00D311B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3CBEB0E" w14:textId="77777777" w:rsidR="00E50B42" w:rsidRDefault="00D311B6">
            <w:pPr>
              <w:spacing w:after="0" w:line="240" w:lineRule="auto"/>
            </w:pPr>
            <w:r>
              <w:t>31</w:t>
            </w:r>
          </w:p>
        </w:tc>
      </w:tr>
    </w:tbl>
    <w:p w14:paraId="33390D60" w14:textId="77777777" w:rsidR="00E50B42" w:rsidRDefault="00D311B6">
      <w:r>
        <w:br/>
      </w:r>
    </w:p>
    <w:p w14:paraId="2EC2EDEC" w14:textId="77777777" w:rsidR="00E50B42" w:rsidRDefault="00D311B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72E4C9B" w14:textId="77777777" w:rsidR="00E50B42" w:rsidRDefault="00D311B6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63D8FEE" w14:textId="77777777" w:rsidR="00E50B42" w:rsidRDefault="00D311B6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2C76B16" w14:textId="77777777" w:rsidR="00E50B42" w:rsidRDefault="00E50B42"/>
    <w:p w14:paraId="47640BB9" w14:textId="77777777" w:rsidR="00E50B42" w:rsidRDefault="00D311B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422A527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50B42" w14:paraId="72751B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6A70E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38E6B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B598B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6E597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A29F41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472CF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05E9C9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B7A46C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2B71EA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DFE12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8A6C6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921.759,63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B2B02D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1.029.011,97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1D9BAB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111,6</w:t>
            </w:r>
          </w:p>
        </w:tc>
      </w:tr>
      <w:tr w:rsidR="00E50B42" w14:paraId="698F4E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37621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37D942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689D3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23D1E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1.042.625,16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5F7D18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981.718,93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EC95B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94,2</w:t>
            </w:r>
          </w:p>
        </w:tc>
      </w:tr>
      <w:tr w:rsidR="00E50B42" w14:paraId="6964F8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B1FFB9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AC2A81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78FF2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8A252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BF6AAE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47.293,04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C938B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50B42" w14:paraId="0A4D14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08793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7DF561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B886C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D4637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B818C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95C256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50B42" w14:paraId="083525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2B0D25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A4191C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42AC0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C8F106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6.542,22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354E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2.086,11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6C5CE8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31,9</w:t>
            </w:r>
          </w:p>
        </w:tc>
      </w:tr>
      <w:tr w:rsidR="00E50B42" w14:paraId="60DB45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58A23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F14843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6E33BE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C3CE2C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6.542,22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C95922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2.086,11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6D3D74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31,9</w:t>
            </w:r>
          </w:p>
        </w:tc>
      </w:tr>
      <w:tr w:rsidR="00E50B42" w14:paraId="29B230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FDD98F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902D32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22C6BC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2EDF88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4237F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9536B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50B42" w14:paraId="17A319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C59E0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10AE01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04F14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68FB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93B347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157D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50B42" w14:paraId="768913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3EF73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A60982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7AE4C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66CEE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3DBFB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01CAD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50B42" w14:paraId="28AEA7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B2A37C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368D9B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3710B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745EAD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610F16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45.206,93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8C6940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F50248A" w14:textId="77777777" w:rsidR="00E50B42" w:rsidRDefault="00E50B42">
      <w:pPr>
        <w:spacing w:after="0"/>
      </w:pPr>
    </w:p>
    <w:p w14:paraId="5096AF01" w14:textId="77777777" w:rsidR="00E50B42" w:rsidRDefault="00D311B6" w:rsidP="00D311B6">
      <w:pPr>
        <w:jc w:val="both"/>
      </w:pPr>
      <w:r>
        <w:t>Prihodi poslovanja iznose 1.029.011,97 EUR a rashodi poslovanja 981.718,93 EUR, te manjak prihoda od nefinancijske imovine iznosi 2.086,11 EUR što ukupno iznosi 983.805,04 EUR ukupnih rashoda i rezultira viškom prihoda i primitaka u ovom izvještajnom razdo</w:t>
      </w:r>
      <w:r>
        <w:t>blju u iznosu 45.206,93 EUR.</w:t>
      </w:r>
    </w:p>
    <w:p w14:paraId="3FC49048" w14:textId="77777777" w:rsidR="00E50B42" w:rsidRDefault="00D311B6" w:rsidP="00D311B6">
      <w:pPr>
        <w:jc w:val="both"/>
      </w:pPr>
      <w:r>
        <w:br/>
      </w:r>
    </w:p>
    <w:p w14:paraId="72DFE89A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50B42" w14:paraId="3F315C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B62F8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083DB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F5881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30EB9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18C272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87731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291BC4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C1D92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F75795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7DE66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4BBEC8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921.759,63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E2BC5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1.029.011,97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F826F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111,6</w:t>
            </w:r>
          </w:p>
        </w:tc>
      </w:tr>
    </w:tbl>
    <w:p w14:paraId="2955E1D8" w14:textId="77777777" w:rsidR="00E50B42" w:rsidRDefault="00E50B42">
      <w:pPr>
        <w:spacing w:after="0"/>
      </w:pPr>
    </w:p>
    <w:p w14:paraId="5EC5D4A3" w14:textId="77777777" w:rsidR="00E50B42" w:rsidRDefault="00D311B6" w:rsidP="00D311B6">
      <w:pPr>
        <w:jc w:val="both"/>
      </w:pPr>
      <w:r>
        <w:t>Prihodi poslovanja iznose 1.029.011,97 EUR i veći su za 11,6 % u odnosu na godinu dana ranije. Razlog povećanja je povećanja na izvoru Pomoći i to prihodi za EU fondove odnosno za projekt Znanje za sve i plaće EU Pomoćnika. Povećanje prihoda u odnosu na go</w:t>
      </w:r>
      <w:r>
        <w:t>dinu dana ranije bilo je za 27,6% na prihodima od sufinanciranja cijene usluge zbog većeg broja polaznika u programu produženog boravka i povećanje vlastitih prihoda za 98,5% zbog prihoda od pruženih usluga koje škola od ove godine ponovno ostvaruje te pro</w:t>
      </w:r>
      <w:r>
        <w:t>daje vlastitih proizvoda i roba. Zbog povećanja broja učitelja u PB i povećanja plaća EU pomoćnici, povećanja materijalnih i ostalih rashoda na teret Grada došlo je do povećanja prihoda iz nadležnog proračuna za 11,4 % u odnosu na godinu dana ranije. </w:t>
      </w:r>
    </w:p>
    <w:p w14:paraId="667B61C1" w14:textId="77777777" w:rsidR="00E50B42" w:rsidRDefault="00D311B6">
      <w:r>
        <w:t> </w:t>
      </w:r>
    </w:p>
    <w:p w14:paraId="26622293" w14:textId="77777777" w:rsidR="00E50B42" w:rsidRDefault="00E50B42"/>
    <w:p w14:paraId="1DD525BD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</w:t>
      </w:r>
      <w:r>
        <w:rPr>
          <w:sz w:val="28"/>
        </w:rPr>
        <w:t>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50B42" w14:paraId="036F9E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59051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E1FEE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BE99F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E2B7D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7331F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12EDC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5D3DAC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D6DC0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D8622D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3B22E6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B6C77D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1.042.625,16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100304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981.718,93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08CFD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94,2</w:t>
            </w:r>
          </w:p>
        </w:tc>
      </w:tr>
    </w:tbl>
    <w:p w14:paraId="220664FA" w14:textId="77777777" w:rsidR="00E50B42" w:rsidRDefault="00E50B42">
      <w:pPr>
        <w:spacing w:after="0"/>
      </w:pPr>
    </w:p>
    <w:p w14:paraId="6A5C8E1B" w14:textId="6A7C5D2D" w:rsidR="00E50B42" w:rsidRDefault="00D311B6" w:rsidP="00D311B6">
      <w:pPr>
        <w:jc w:val="both"/>
      </w:pPr>
      <w:r>
        <w:t>Rashodi poslovanja iznose 981.718,93 EUR i manji su u odnosu na godinu dana ranije za 5,8% zbog smanjenja rashoda za plaće COP budući je prošle godine došlo do knjiženja plaća iz godine ranije (2024.)  te je u 2025. g. knjiženo 13 rashoda za plaće zbog uki</w:t>
      </w:r>
      <w:r>
        <w:t xml:space="preserve">danja konta 193 početkom 2025. Ostali rashodi zbog povećanja cijena usluga i roba povećani su, tako su materijalni rashodi povećani za 9%, naknade troškova zaposlenima povećane su za 16,7% zbog većeg broja službenim putovanja, dnevnica </w:t>
      </w:r>
      <w:r>
        <w:t>i naknada za prijevo</w:t>
      </w:r>
      <w:r>
        <w:t>z, te povećanja rashoda za usluge za 28,7% jer početkom godine imali smo već</w:t>
      </w:r>
      <w:r>
        <w:t>i broj usluga tekućeg i investicijskog održavanja (zamjena podova u učionicama) te ostalih usluga. Zbog dolaska novog učenika povećani su rashodi za naknade građanima za 123% jer j</w:t>
      </w:r>
      <w:r>
        <w:t>e bilo potrebno nabaviti nove radne udžbenike i bilježnice.   </w:t>
      </w:r>
    </w:p>
    <w:p w14:paraId="7BC47FFD" w14:textId="77777777" w:rsidR="00E50B42" w:rsidRDefault="00E50B42" w:rsidP="00D311B6">
      <w:pPr>
        <w:jc w:val="both"/>
      </w:pPr>
    </w:p>
    <w:p w14:paraId="3C6F197A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50B42" w14:paraId="28B2A8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12DDF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9819B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DD6A0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F7E42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B846A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3B991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7D7B2D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7984D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CABE48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</w:t>
            </w:r>
            <w:r>
              <w:rPr>
                <w:sz w:val="18"/>
              </w:rPr>
              <w:t>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F290BE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A7B8E5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9.613,85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CE3F0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150.648,19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1313F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1567,0</w:t>
            </w:r>
          </w:p>
        </w:tc>
      </w:tr>
    </w:tbl>
    <w:p w14:paraId="798E869B" w14:textId="77777777" w:rsidR="00E50B42" w:rsidRDefault="00E50B42">
      <w:pPr>
        <w:spacing w:after="0"/>
      </w:pPr>
    </w:p>
    <w:p w14:paraId="6BCEDE2B" w14:textId="77777777" w:rsidR="00E50B42" w:rsidRDefault="00D311B6" w:rsidP="00D311B6">
      <w:pPr>
        <w:jc w:val="both"/>
      </w:pPr>
      <w:r>
        <w:lastRenderedPageBreak/>
        <w:t>Ukupni preneseni manjak mnogo je veći u odnosu na godinu dana ranije te iznosi 150.648,19 EUR, a sastoji se od manjka prihoda poslovanja u iznosu od 146.178,89 EUR i manjka prihoda od nefinancijske imovine od 4.469,30 EUR.</w:t>
      </w:r>
    </w:p>
    <w:p w14:paraId="7A2E0D2E" w14:textId="77777777" w:rsidR="00E50B42" w:rsidRDefault="00D311B6" w:rsidP="00D311B6">
      <w:pPr>
        <w:jc w:val="both"/>
      </w:pPr>
      <w:r>
        <w:t>Navedeni manjak proizašao je iz m</w:t>
      </w:r>
      <w:r>
        <w:t>anjka prihoda iz nadležnog  proračuna  tzv. metodološki manjak koji je iznosio 24.028,06 EUR i manjka ostalih izvora u iznosu 126.620,13 EUR (plaće COP, prehrana za 12/25, te ostalih pomoći). Budući se rashodi priznaju prema nastanku događaja odnosno rasho</w:t>
      </w:r>
      <w:r>
        <w:t>di prikazuju sve obveze koje su nastale u tekućoj godini, a prihodi prikazuju samo doznačena sredstva do kraja izvještajnog razdoblja, tako je i plaćanje obveza za rashode koji se financiraju iz sredstava nadležnog proračuna za prosinac 2025. godine bilo p</w:t>
      </w:r>
      <w:r>
        <w:t>laćeno u siječnju 2026. godine, kada su bili i  priznati i prihodi. </w:t>
      </w:r>
    </w:p>
    <w:p w14:paraId="53BC9DC3" w14:textId="77777777" w:rsidR="00E50B42" w:rsidRDefault="00E50B42"/>
    <w:p w14:paraId="05FD2C04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50B42" w14:paraId="01DDCF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E57B0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6EAA7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50233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25032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B56C4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C9DC8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43B725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79FCFC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EB1FA6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i </w:t>
            </w:r>
            <w:r>
              <w:rPr>
                <w:sz w:val="18"/>
              </w:rPr>
              <w:t>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29F475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93D51D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137.021,60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63A49C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105.441,26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EBDE0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77,0</w:t>
            </w:r>
          </w:p>
        </w:tc>
      </w:tr>
    </w:tbl>
    <w:p w14:paraId="64389500" w14:textId="77777777" w:rsidR="00E50B42" w:rsidRDefault="00E50B42">
      <w:pPr>
        <w:spacing w:after="0"/>
      </w:pPr>
    </w:p>
    <w:p w14:paraId="69B90F24" w14:textId="77777777" w:rsidR="00E50B42" w:rsidRDefault="00D311B6" w:rsidP="00D311B6">
      <w:pPr>
        <w:jc w:val="both"/>
      </w:pPr>
      <w:r>
        <w:t>U prvih šest mjeseci ostvareni su ukupni prihodi u iznosu 1,029.011,97 EUR i sveukupni rashodi u iznosu 983.805,04 EUR što iznosi višak prihoda u iznosu 45.205,93 EUR, međutim sa prenesenim manjkom u iznosu 150.648,19 EUR,  manjak prihoda i primitaka za po</w:t>
      </w:r>
      <w:r>
        <w:t>kriće u sljedećem razdoblju iznosi 105.441,26 EUR. </w:t>
      </w:r>
    </w:p>
    <w:p w14:paraId="7B86D8BA" w14:textId="77777777" w:rsidR="00E50B42" w:rsidRDefault="00E50B42"/>
    <w:p w14:paraId="7F35530C" w14:textId="77777777" w:rsidR="00E50B42" w:rsidRDefault="00D311B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BC000C0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50B42" w14:paraId="27F12F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E9964C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7C590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30AFE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97867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D0839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69DE05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71AB5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888539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B8BA9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D9B5D3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140.098,52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213AEA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9892BB" w14:textId="77777777" w:rsidR="00E50B42" w:rsidRDefault="00E50B42">
      <w:pPr>
        <w:spacing w:after="0"/>
      </w:pPr>
    </w:p>
    <w:p w14:paraId="4941BEEA" w14:textId="77777777" w:rsidR="00E50B42" w:rsidRDefault="00D311B6" w:rsidP="00D311B6">
      <w:pPr>
        <w:jc w:val="both"/>
      </w:pPr>
      <w:r>
        <w:t>Stanje obveza na dan 1.1. 2026. bilo je 158.566,23 EUR, tijekom izvještajnog razdoblja došlo je do povećanja obveza u iznosu 981.825,92 EUR i podmirenja navedenih obveza u iznosu 1.006.283,63 EUR te je stanje obveza na kraju izvještajnog razdoblja 140.098,</w:t>
      </w:r>
      <w:r>
        <w:t>52 EUR koje će biti podmirene u srpnju. </w:t>
      </w:r>
    </w:p>
    <w:p w14:paraId="7A45EC93" w14:textId="77777777" w:rsidR="00E50B42" w:rsidRDefault="00E50B42"/>
    <w:p w14:paraId="6791ADE0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50B42" w14:paraId="366E68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8488F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47C27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BB4B7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0B470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6EC27" w14:textId="77777777" w:rsidR="00E50B42" w:rsidRDefault="00D311B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50B42" w14:paraId="6FCF5A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A1BE5B" w14:textId="77777777" w:rsidR="00E50B42" w:rsidRDefault="00E50B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108CDE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8D206" w14:textId="77777777" w:rsidR="00E50B42" w:rsidRDefault="00D311B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E24EA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FB2535" w14:textId="77777777" w:rsidR="00E50B42" w:rsidRDefault="00D311B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CA8226" w14:textId="77777777" w:rsidR="00E50B42" w:rsidRDefault="00E50B42">
      <w:pPr>
        <w:spacing w:after="0"/>
      </w:pPr>
    </w:p>
    <w:p w14:paraId="73EF8FB1" w14:textId="77777777" w:rsidR="00E50B42" w:rsidRDefault="00D311B6">
      <w:r>
        <w:t>Na dan 30.06.2026. godine nema dospjelih obaveza. </w:t>
      </w:r>
    </w:p>
    <w:p w14:paraId="486879BB" w14:textId="77777777" w:rsidR="00E50B42" w:rsidRDefault="00E50B42"/>
    <w:p w14:paraId="6B12C6AF" w14:textId="77777777" w:rsidR="00E50B42" w:rsidRDefault="00D311B6">
      <w:pPr>
        <w:keepNext/>
        <w:spacing w:line="240" w:lineRule="auto"/>
        <w:jc w:val="center"/>
      </w:pPr>
      <w:r>
        <w:rPr>
          <w:sz w:val="28"/>
        </w:rPr>
        <w:t>Bilješka 8.</w:t>
      </w:r>
    </w:p>
    <w:p w14:paraId="4A5D19EA" w14:textId="77777777" w:rsidR="00E50B42" w:rsidRDefault="00D311B6" w:rsidP="00D311B6">
      <w:pPr>
        <w:spacing w:line="240" w:lineRule="auto"/>
        <w:jc w:val="both"/>
      </w:pPr>
      <w:r>
        <w:rPr>
          <w:b/>
        </w:rPr>
        <w:t>EU izvještaj</w:t>
      </w:r>
    </w:p>
    <w:p w14:paraId="70B8070A" w14:textId="77777777" w:rsidR="00E50B42" w:rsidRDefault="00D311B6" w:rsidP="00D311B6">
      <w:pPr>
        <w:jc w:val="both"/>
      </w:pPr>
      <w:r>
        <w:t xml:space="preserve">Ukupni prihodi od pomoći EU fondova za navedeno razdoblje iznose 19.804,15 EUR i odnose se na 15% na pomoći iz državnog proračuna kroz </w:t>
      </w:r>
      <w:proofErr w:type="spellStart"/>
      <w:r>
        <w:t>nac</w:t>
      </w:r>
      <w:proofErr w:type="spellEnd"/>
      <w:r>
        <w:t xml:space="preserve">. </w:t>
      </w:r>
      <w:proofErr w:type="spellStart"/>
      <w:r>
        <w:t>suf</w:t>
      </w:r>
      <w:proofErr w:type="spellEnd"/>
      <w:r>
        <w:t>. EU p. - Znanje za sve u iznosu 2.9</w:t>
      </w:r>
      <w:r>
        <w:t>70,62 EUR i 85% Pomoći EU fondova - Znanje za sve u iznosu 16.833,53 EUR. Ukupni rashodi poslovanja iznose 6.767,13 EUR i odnose se na nekoliko projekata iz EU fondova. Za troškove plaća zaposlenih u sklopu projekta Znanje za sve ukupno je utrošeno 5.166,3</w:t>
      </w:r>
      <w:r>
        <w:t>0 EUR i to 15% u iznosu 774,96 EUR nacionalnog sufinanciranja i 85% iz pomoći EU fondova odnosno u iznosu od 4.391,34 EUR.</w:t>
      </w:r>
    </w:p>
    <w:p w14:paraId="5EF2ED16" w14:textId="77777777" w:rsidR="00E50B42" w:rsidRDefault="00D311B6" w:rsidP="00D311B6">
      <w:pPr>
        <w:jc w:val="both"/>
      </w:pPr>
      <w:r>
        <w:t>Osim navedenih prihoda i rashoda EU projektom financira se i projekt Školske sheme za koji još uvijek nismo primili prihod iz EU fond</w:t>
      </w:r>
      <w:r>
        <w:t>ova, ali prema Odluci Agencije iznos odobrenih sredstava koji smo dobili za školsku godinu 2025./2026. u potpunosti je iskorišten. </w:t>
      </w:r>
    </w:p>
    <w:p w14:paraId="287E58E8" w14:textId="77777777" w:rsidR="00E50B42" w:rsidRDefault="00E50B42" w:rsidP="00D311B6">
      <w:pPr>
        <w:jc w:val="both"/>
      </w:pPr>
    </w:p>
    <w:sectPr w:rsidR="00E50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B42"/>
    <w:rsid w:val="00D311B6"/>
    <w:rsid w:val="00E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1510"/>
  <w15:docId w15:val="{CD1DBE78-D7DC-48CE-A773-1CDC45ED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3</cp:revision>
  <dcterms:created xsi:type="dcterms:W3CDTF">2026-07-14T11:39:00Z</dcterms:created>
  <dcterms:modified xsi:type="dcterms:W3CDTF">2026-07-14T11:43:00Z</dcterms:modified>
</cp:coreProperties>
</file>